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8"/>
        <w:jc w:val="center"/>
        <w:rPr>
          <w:i/>
          <w:i/>
          <w:iCs/>
        </w:rPr>
      </w:pPr>
      <w:r>
        <w:rPr>
          <w:rFonts w:cs="Times New Roman" w:ascii="Times New Roman" w:hAnsi="Times New Roman"/>
          <w:b/>
          <w:i/>
          <w:iCs/>
          <w:sz w:val="26"/>
          <w:szCs w:val="26"/>
        </w:rPr>
        <w:t>Отделение надзорной деятельности и профилактической работы по Рамешковскому и Максатихинскому районам Тверской области информирует!</w:t>
      </w:r>
    </w:p>
    <w:p>
      <w:pPr>
        <w:pStyle w:val="Normal"/>
        <w:spacing w:lineRule="auto" w:line="240" w:before="0" w:after="0"/>
        <w:ind w:firstLine="70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8"/>
        <w:jc w:val="both"/>
        <w:rPr>
          <w:sz w:val="26"/>
          <w:szCs w:val="26"/>
        </w:rPr>
      </w:pPr>
      <w:r>
        <w:rPr>
          <w:rFonts w:cs="Times New Roman" w:ascii="Times New Roman" w:hAnsi="Times New Roman"/>
          <w:sz w:val="26"/>
          <w:szCs w:val="26"/>
        </w:rPr>
        <w:t>С понижением температуры окружающей среды и с началом отопительного сезона увеличивается количество бытовых пожаров в жилых домах и квартирах, это связано с началом активного использования отопительных систем и обогревательных приборов. Их неправильная эксплуатация или неисправное состояние приводит к трагичным последствиям.</w:t>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color w:val="auto"/>
          <w:kern w:val="0"/>
          <w:sz w:val="26"/>
          <w:szCs w:val="26"/>
          <w:lang w:val="ru-RU" w:eastAsia="en-US" w:bidi="ar-SA"/>
        </w:rPr>
        <w:t>Во избежание пожаров в результате нарушения правил пожарной безопасности при эксплуатации электрооборудования и печного отопления ЗАПРЕЩАЕТСЯ:</w:t>
      </w:r>
    </w:p>
    <w:p>
      <w:pPr>
        <w:pStyle w:val="Normal"/>
        <w:spacing w:lineRule="auto" w:line="240" w:before="0" w:after="0"/>
        <w:ind w:firstLine="708"/>
        <w:jc w:val="both"/>
        <w:rPr>
          <w:rFonts w:ascii="Times New Roman" w:hAnsi="Times New Roman" w:eastAsia="Calibri" w:cs="Times New Roman" w:eastAsiaTheme="minorHAnsi"/>
          <w:b/>
          <w:b/>
          <w:color w:val="auto"/>
          <w:kern w:val="0"/>
          <w:sz w:val="26"/>
          <w:szCs w:val="26"/>
          <w:lang w:val="ru-RU" w:eastAsia="en-US" w:bidi="ar-SA"/>
        </w:rPr>
      </w:pPr>
      <w:r>
        <w:rPr>
          <w:rFonts w:eastAsia="Calibri" w:cs="Times New Roman" w:eastAsiaTheme="minorHAnsi" w:ascii="Times New Roman" w:hAnsi="Times New Roman"/>
          <w:b/>
          <w:color w:val="auto"/>
          <w:kern w:val="0"/>
          <w:sz w:val="26"/>
          <w:szCs w:val="26"/>
          <w:lang w:val="ru-RU" w:eastAsia="en-US" w:bidi="ar-SA"/>
        </w:rPr>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u w:val="single"/>
          <w:lang w:val="ru-RU" w:eastAsia="en-US" w:bidi="ar-SA"/>
        </w:rPr>
        <w:t>При эксплуатации печного отопления запрещается: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оставлять без присмотра печи, которые топятся, а также поручать надзор за ними детям;</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располагать топливо, другие горючие вещества и материалы на пр</w:t>
      </w:r>
      <w:r>
        <w:rPr>
          <w:rFonts w:eastAsia="Calibri" w:cs="Times New Roman" w:ascii="Times New Roman" w:hAnsi="Times New Roman" w:eastAsiaTheme="minorHAnsi"/>
          <w:color w:val="auto"/>
          <w:kern w:val="0"/>
          <w:sz w:val="26"/>
          <w:szCs w:val="26"/>
          <w:lang w:val="ru-RU" w:eastAsia="en-US" w:bidi="ar-SA"/>
        </w:rPr>
        <w:t>ед</w:t>
      </w:r>
      <w:r>
        <w:rPr>
          <w:rFonts w:eastAsia="Calibri" w:cs="Times New Roman" w:ascii="Times New Roman" w:hAnsi="Times New Roman" w:eastAsiaTheme="minorHAnsi"/>
          <w:color w:val="auto"/>
          <w:kern w:val="0"/>
          <w:sz w:val="26"/>
          <w:szCs w:val="26"/>
          <w:lang w:val="ru-RU" w:eastAsia="en-US" w:bidi="ar-SA"/>
        </w:rPr>
        <w:t>топочном листе;</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применять для розжига печей бензин, керосин, дизельное топливо и другие легковоспламеняющиеся и горючие жидкости;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топить углем, коксом и газом печи, не предназначенные для этих видов топлива;</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производить топку печей во время проведения в помещениях собраний и других массовых мероприятий;</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использовать вентиляционные и газовые каналы в качестве дымоходов;</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перекаливать печи.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Зола и шлак, выгребаемые из топок, должны быть залиты водой и удалены в специально отведенное для них место.</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Запрещается</w:t>
      </w:r>
      <w:r>
        <w:rPr>
          <w:rFonts w:eastAsia="Calibri" w:cs="Times New Roman" w:ascii="Times New Roman" w:hAnsi="Times New Roman" w:eastAsiaTheme="minorHAnsi"/>
          <w:color w:val="auto"/>
          <w:kern w:val="0"/>
          <w:sz w:val="26"/>
          <w:szCs w:val="26"/>
          <w:lang w:val="ru-RU" w:eastAsia="en-US" w:bidi="ar-SA"/>
        </w:rPr>
        <w:t xml:space="preserve">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Неисправные печи и другие отопительные приборы к эксплуатации не допускаются.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u w:val="single"/>
          <w:lang w:val="ru-RU" w:eastAsia="en-US" w:bidi="ar-SA"/>
        </w:rPr>
        <w:t>При эксплуатации электрооборудования запрещается: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эксплуатация электроприборов с нарушениями требований указанных в инструкции по применению приборов;</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-оставлять без присмотра включенными в электрическую сеть электронагревательные приборы и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использовать самодельные и неисправные бытовые и обогревательные приборы, а также перегружать электрическую сеть включением одновременно большого количества электроприборов.</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Основной причиной пожаров, на которых погибают люди, является неосторожное обращение с огнем, ввиду этого будьте осторожны при использовании открытого огня при курении (особенно в состоянии алкогольного опьянения).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Не оставляйте без присмотра детей, престарелых и больных граждан. Будьте бдительны, берегите себя и своих близких.</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Напоминаем, что за нарушение вышеуказанных требований предусмотрена административная ответственности в соответствии со статьей 20.4 Кодекса об административных правонарушениях:</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Граждане в размере от 5 000 до 15 000 рублей;</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Должностные лица – от 20 000 до 30 000 рублей;</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Индивидуальным предпринимателям - от 40 000 до 60 000 рублей;</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Юридические лица –  от 300 000 до 400 000 рублей.</w:t>
      </w:r>
    </w:p>
    <w:p>
      <w:pPr>
        <w:pStyle w:val="ListParagraph"/>
        <w:numPr>
          <w:ilvl w:val="0"/>
          <w:numId w:val="0"/>
        </w:numPr>
        <w:ind w:left="0" w:hanging="0"/>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В случае, если нарушение требований пожарной безопасности повлекут возникновение пожара и уничтожение или повреждение чужого имущества, либо причинение легкого или средней тяжести вреда здоровью человека предусмотрены следующие наказания в соответствии со статьей 20.4 Кодекса об административных правонарушениях:</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1. Граждане в размере от 40 000 до 50 000 рублей;</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2. Должностные лица – от 80 000 до 100 000 рублей;</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3. Индивидуальным предпринимателям - от 90 000 до 150 000 рублей;</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4. Юридические лица –  от 700 000 до 800 000 рублей.</w:t>
      </w:r>
    </w:p>
    <w:p>
      <w:pPr>
        <w:pStyle w:val="Normal"/>
        <w:spacing w:lineRule="auto" w:line="240" w:before="0" w:after="0"/>
        <w:ind w:firstLine="708"/>
        <w:jc w:val="center"/>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color w:val="auto"/>
          <w:kern w:val="0"/>
          <w:sz w:val="26"/>
          <w:szCs w:val="26"/>
          <w:u w:val="single"/>
          <w:lang w:val="ru-RU" w:eastAsia="en-US" w:bidi="ar-SA"/>
        </w:rPr>
        <w:t>В случае пожара</w:t>
      </w:r>
      <w:r>
        <w:rPr>
          <w:rFonts w:eastAsia="Calibri" w:cs="Times New Roman" w:ascii="Times New Roman" w:hAnsi="Times New Roman" w:eastAsiaTheme="minorHAnsi"/>
          <w:color w:val="auto"/>
          <w:kern w:val="0"/>
          <w:sz w:val="26"/>
          <w:szCs w:val="26"/>
          <w:u w:val="single"/>
          <w:lang w:val="ru-RU" w:eastAsia="en-US" w:bidi="ar-SA"/>
        </w:rPr>
        <w:t>:</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xml:space="preserve">Немедленно звоните в пожарную охрану по телефону «101» или «112», при этом не забудьте назвать адрес объекта, место возникновения пожара и сообщить свою фамилию. В случае угрозы жизни людей необходимо немедленно организовать их спасение, используя для этого имеющиеся силы и средства. До прибытия пожарного подразделения использовать в тушение пожара имеющиеся первичные средства пожаротушения (вода, песок, снег, огнетушители, тканевые материалы, смоченные водой). Удалите за пределы опасной зоны людей пожилого возраста, детей, инвалидов и больных. </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eastAsiaTheme="minorHAnsi" w:ascii="Times New Roman" w:hAnsi="Times New Roman"/>
          <w:color w:val="auto"/>
          <w:kern w:val="0"/>
          <w:sz w:val="26"/>
          <w:szCs w:val="26"/>
          <w:lang w:val="ru-RU" w:eastAsia="en-US" w:bidi="ar-SA"/>
        </w:rPr>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xml:space="preserve">Отделение надзорной деятельности и </w:t>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xml:space="preserve">профилактической работы по Рамешковскому </w:t>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и Максатихинскому районам Тверской области</w:t>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10.10.2022 г.</w:t>
      </w:r>
    </w:p>
    <w:p>
      <w:pPr>
        <w:pStyle w:val="Normal"/>
        <w:spacing w:lineRule="auto" w:line="240" w:before="0" w:after="0"/>
        <w:ind w:firstLine="708"/>
        <w:rPr>
          <w:rFonts w:ascii="Times New Roman" w:hAnsi="Times New Roman" w:eastAsia="Calibri" w:cs="Times New Roman" w:eastAsiaTheme="minorHAnsi"/>
          <w:color w:val="auto"/>
          <w:kern w:val="0"/>
          <w:sz w:val="26"/>
          <w:szCs w:val="26"/>
          <w:lang w:val="ru-RU" w:eastAsia="en-US" w:bidi="ar-SA"/>
        </w:rPr>
      </w:pPr>
      <w:r>
        <w:rPr/>
      </w:r>
    </w:p>
    <w:sectPr>
      <w:type w:val="nextPage"/>
      <w:pgSz w:w="11906" w:h="16838"/>
      <w:pgMar w:left="1276" w:right="850" w:header="0" w:top="355"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Courier New">
    <w:charset w:val="01"/>
    <w:family w:val="roman"/>
    <w:pitch w:val="default"/>
  </w:font>
  <w:font w:name="PT Astra Serif">
    <w:charset w:val="01"/>
    <w:family w:val="roman"/>
    <w:pitch w:val="default"/>
  </w:font>
  <w:font w:name="Arial">
    <w:charset w:val="01"/>
    <w:family w:val="roman"/>
    <w:pitch w:val="default"/>
  </w:font>
  <w:font w:name="Times New Roman">
    <w:charset w:val="01"/>
    <w:family w:val="roman"/>
    <w:pitch w:val="default"/>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429" w:hanging="360"/>
      </w:pPr>
    </w:lvl>
    <w:lvl w:ilvl="1">
      <w:start w:val="1"/>
      <w:numFmt w:val="bullet"/>
      <w:lvlText w:val="o"/>
      <w:lvlJc w:val="left"/>
      <w:pPr>
        <w:tabs>
          <w:tab w:val="num" w:pos="0"/>
        </w:tabs>
        <w:ind w:left="2149" w:hanging="360"/>
      </w:pPr>
      <w:rPr>
        <w:rFonts w:ascii="0" w:hAnsi="0" w:cs="0" w:hint="default"/>
      </w:rPr>
    </w:lvl>
    <w:lvl w:ilvl="2">
      <w:start w:val="1"/>
      <w:numFmt w:val="bullet"/>
      <w:lvlText w:val=""/>
      <w:lvlJc w:val="left"/>
      <w:pPr>
        <w:tabs>
          <w:tab w:val="num" w:pos="0"/>
        </w:tabs>
        <w:ind w:left="2869" w:hanging="360"/>
      </w:pPr>
      <w:rPr>
        <w:rFonts w:ascii="0" w:hAnsi="0" w:cs="0" w:hint="default"/>
      </w:rPr>
    </w:lvl>
    <w:lvl w:ilvl="3">
      <w:start w:val="1"/>
      <w:numFmt w:val="bullet"/>
      <w:lvlText w:val=""/>
      <w:lvlJc w:val="left"/>
      <w:pPr>
        <w:tabs>
          <w:tab w:val="num" w:pos="0"/>
        </w:tabs>
        <w:ind w:left="3589" w:hanging="360"/>
      </w:pPr>
      <w:rPr>
        <w:rFonts w:ascii="0" w:hAnsi="0" w:cs="0" w:hint="default"/>
      </w:rPr>
    </w:lvl>
    <w:lvl w:ilvl="4">
      <w:start w:val="1"/>
      <w:numFmt w:val="bullet"/>
      <w:lvlText w:val="o"/>
      <w:lvlJc w:val="left"/>
      <w:pPr>
        <w:tabs>
          <w:tab w:val="num" w:pos="0"/>
        </w:tabs>
        <w:ind w:left="4309" w:hanging="360"/>
      </w:pPr>
      <w:rPr>
        <w:rFonts w:ascii="0" w:hAnsi="0" w:cs="0" w:hint="default"/>
      </w:rPr>
    </w:lvl>
    <w:lvl w:ilvl="5">
      <w:start w:val="1"/>
      <w:numFmt w:val="bullet"/>
      <w:lvlText w:val=""/>
      <w:lvlJc w:val="left"/>
      <w:pPr>
        <w:tabs>
          <w:tab w:val="num" w:pos="0"/>
        </w:tabs>
        <w:ind w:left="5029" w:hanging="360"/>
      </w:pPr>
      <w:rPr>
        <w:rFonts w:ascii="0" w:hAnsi="0" w:cs="0" w:hint="default"/>
      </w:rPr>
    </w:lvl>
    <w:lvl w:ilvl="6">
      <w:start w:val="1"/>
      <w:numFmt w:val="bullet"/>
      <w:lvlText w:val=""/>
      <w:lvlJc w:val="left"/>
      <w:pPr>
        <w:tabs>
          <w:tab w:val="num" w:pos="0"/>
        </w:tabs>
        <w:ind w:left="5749" w:hanging="360"/>
      </w:pPr>
      <w:rPr>
        <w:rFonts w:ascii="0" w:hAnsi="0" w:cs="0" w:hint="default"/>
      </w:rPr>
    </w:lvl>
    <w:lvl w:ilvl="7">
      <w:start w:val="1"/>
      <w:numFmt w:val="bullet"/>
      <w:lvlText w:val="o"/>
      <w:lvlJc w:val="left"/>
      <w:pPr>
        <w:tabs>
          <w:tab w:val="num" w:pos="0"/>
        </w:tabs>
        <w:ind w:left="6469" w:hanging="360"/>
      </w:pPr>
      <w:rPr>
        <w:rFonts w:ascii="0" w:hAnsi="0" w:cs="0" w:hint="default"/>
      </w:rPr>
    </w:lvl>
    <w:lvl w:ilvl="8">
      <w:start w:val="1"/>
      <w:numFmt w:val="bullet"/>
      <w:lvlText w:val=""/>
      <w:lvlJc w:val="left"/>
      <w:pPr>
        <w:tabs>
          <w:tab w:val="num" w:pos="0"/>
        </w:tabs>
        <w:ind w:left="7189" w:hanging="360"/>
      </w:pPr>
      <w:rPr>
        <w:rFonts w:ascii="0" w:hAnsi="0" w:cs="0"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3f2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b40b88"/>
    <w:rPr>
      <w:rFonts w:ascii="Tahoma" w:hAnsi="Tahoma" w:cs="Tahoma"/>
      <w:sz w:val="16"/>
      <w:szCs w:val="16"/>
    </w:rPr>
  </w:style>
  <w:style w:type="character" w:styleId="212pt">
    <w:name w:val="Основной текст (2) + 12 pt"/>
    <w:qFormat/>
    <w:rPr>
      <w:color w:val="000000"/>
      <w:spacing w:val="0"/>
      <w:w w:val="100"/>
      <w:highlight w:val="white"/>
      <w:lang w:eastAsia="ru-RU"/>
    </w:rPr>
  </w:style>
  <w:style w:type="character" w:styleId="2">
    <w:name w:val="Основной текст (2) + Полужирный"/>
    <w:qFormat/>
    <w:rPr>
      <w:b/>
      <w:color w:val="000000"/>
      <w:spacing w:val="0"/>
      <w:w w:val="100"/>
      <w:sz w:val="28"/>
      <w:highlight w:val="white"/>
      <w:lang w:eastAsia="ru-RU"/>
    </w:rPr>
  </w:style>
  <w:style w:type="character" w:styleId="21">
    <w:name w:val="Основной текст (2)_"/>
    <w:qFormat/>
    <w:rPr>
      <w:sz w:val="28"/>
      <w:shd w:fill="FFFFFF" w:val="clear"/>
    </w:rPr>
  </w:style>
  <w:style w:type="character" w:styleId="Style15">
    <w:name w:val="Делопроизводство Знак"/>
    <w:qFormat/>
    <w:rPr>
      <w:rFonts w:ascii="Calibri" w:hAnsi="Calibri" w:eastAsia="Calibri"/>
      <w:sz w:val="30"/>
      <w:szCs w:val="30"/>
      <w:lang w:eastAsia="en-US"/>
    </w:rPr>
  </w:style>
  <w:style w:type="character" w:styleId="1">
    <w:name w:val="Заголовок 1 Знак"/>
    <w:qFormat/>
    <w:rPr>
      <w:rFonts w:ascii="Courier New" w:hAnsi="Courier New" w:cs="Courier New"/>
      <w:b/>
      <w:sz w:val="32"/>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BalloonText">
    <w:name w:val="Balloon Text"/>
    <w:basedOn w:val="Normal"/>
    <w:link w:val="a4"/>
    <w:uiPriority w:val="99"/>
    <w:semiHidden/>
    <w:unhideWhenUsed/>
    <w:qFormat/>
    <w:rsid w:val="00b40b88"/>
    <w:pPr>
      <w:spacing w:lineRule="auto" w:line="240" w:before="0" w:after="0"/>
    </w:pPr>
    <w:rPr>
      <w:rFonts w:ascii="Tahoma" w:hAnsi="Tahoma" w:cs="Tahoma"/>
      <w:sz w:val="16"/>
      <w:szCs w:val="16"/>
    </w:rPr>
  </w:style>
  <w:style w:type="paragraph" w:styleId="Text1" w:customStyle="1">
    <w:name w:val="text1"/>
    <w:basedOn w:val="Normal"/>
    <w:qFormat/>
    <w:rsid w:val="00716e2f"/>
    <w:pPr>
      <w:spacing w:lineRule="atLeast" w:line="240" w:before="0" w:after="300"/>
      <w:ind w:left="195" w:right="195" w:hanging="0"/>
      <w:jc w:val="both"/>
    </w:pPr>
    <w:rPr>
      <w:rFonts w:ascii="Arial" w:hAnsi="Arial" w:eastAsia="Times New Roman" w:cs="Arial"/>
      <w:color w:val="5E594E"/>
      <w:sz w:val="18"/>
      <w:szCs w:val="18"/>
      <w:lang w:eastAsia="ru-RU"/>
    </w:rPr>
  </w:style>
  <w:style w:type="paragraph" w:styleId="22">
    <w:name w:val="Основной текст (2)"/>
    <w:basedOn w:val="Normal"/>
    <w:qFormat/>
    <w:pPr>
      <w:widowControl w:val="false"/>
      <w:shd w:fill="FFFFFF"/>
      <w:spacing w:lineRule="exact" w:line="331"/>
      <w:jc w:val="center"/>
    </w:pPr>
    <w:rPr>
      <w:sz w:val="28"/>
    </w:rPr>
  </w:style>
  <w:style w:type="paragraph" w:styleId="Style21">
    <w:name w:val="Делопроизводство"/>
    <w:basedOn w:val="Normal"/>
    <w:qFormat/>
    <w:pPr>
      <w:ind w:right="-1" w:firstLine="709"/>
      <w:jc w:val="both"/>
    </w:pPr>
    <w:rPr>
      <w:rFonts w:ascii="Calibri" w:hAnsi="Calibri" w:eastAsia="Calibri"/>
      <w:sz w:val="30"/>
      <w:szCs w:val="30"/>
      <w:lang w:eastAsia="en-US"/>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F5AD-EB3A-47BE-8C78-EAF639F3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Application>LibreOffice/6.4.7.2$Linux_X86_64 LibreOffice_project/40$Build-2</Application>
  <Pages>2</Pages>
  <Words>713</Words>
  <Characters>4688</Characters>
  <CharactersWithSpaces>5366</CharactersWithSpaces>
  <Paragraphs>40</Paragraphs>
  <Company>ОНД Бежецк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language>ru-RU</dc:language>
  <cp:lastModifiedBy/>
  <dcterms:modified xsi:type="dcterms:W3CDTF">2022-10-11T09:22:46Z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ОНД Бежецк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